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244</w:t>
      </w:r>
    </w:p>
    <w:p>
      <w:r>
        <w:t>Bundesgericht (BGE), 1980-08-29, DE</w:t>
      </w:r>
    </w:p>
    <w:p>
      <w:r>
        <w:rPr>
          <w:b/>
        </w:rPr>
        <w:t xml:space="preserve">Quelle: </w:t>
      </w:r>
      <w:r>
        <w:t>https://mcp.opencaselaw.ch/entscheid/bge_106 IV 244</w:t>
      </w:r>
    </w:p>
    <w:p>
      <w:r>
        <w:t>FR: ATF 106 IV 244</w:t>
      </w:r>
    </w:p>
    <w:p>
      <w:r>
        <w:t>IT: DTF 106 IV 244</w:t>
      </w:r>
    </w:p>
    <w:p>
      <w:pPr>
        <w:pStyle w:val="Heading2"/>
      </w:pPr>
      <w:r>
        <w:t>Regeste</w:t>
      </w:r>
    </w:p>
    <w:p>
      <w:r>
        <w:t>Regeste Art. 29 StGB, Wahrung der Antragsfrist. 1. Von Bundesrechts wegen genügt ein mündlicher Strafantrag oder der nur nach mündlicher Instruktion vom Anwalt gestellte Antrag (Erw. 1). 2. Handelt der Verletzte durch einen Vertreter, so sind die bundesrechtlichen Voraussetzungen erfüllt, wenn der Vertreter vor Ablauf der Antragsfrist bevollmächtigt worden ist und den Strafantrag fristgerecht gestellt hat (Erw. 2, Präzisierung der deutschen und italienischen Regesten von BGE 103 IV 71). Ob es einer schriftlichen Vollmacht bedarf, ist eine Frage des kantonalen Prozessrechts.</w:t>
      </w:r>
    </w:p>
    <w:p>
      <w:pPr>
        <w:pStyle w:val="Heading2"/>
      </w:pPr>
      <w:r>
        <w:t>Erwägungen</w:t>
      </w:r>
    </w:p>
    <w:p>
      <w:r>
        <w:rPr>
          <w:b/>
        </w:rPr>
        <w:t>E. 1</w:t>
      </w:r>
    </w:p>
    <w:p>
      <w:r>
        <w:t>Wie schon im kantonalen Verfahren macht der Verteidiger geltend, der Strafantrag sei verspätet. Der Beschwerdegegner BGE 106 IV 244 S. 245 habe seinen Anwalt mündlich beauftragt, Ehrverletzungsklage einzuleiten. Das sei innert Frist geschehen. Die schriftliche Vollmacht des klägerischen Anwalts sei aber erst nach Ablauf der Antragsfrist eingereicht worden, der Antrag daher ungültig. Die Art. 28-31 StGB , die den Strafantrag regeln, enthalten keine Formvorschriften. Nach ständiger Praxis des Kassationshofes liegt ein gültiger Strafantrag vor,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 BGE 105 IV 165 , BGE 103 IV 132 ). Soweit das kantonale Recht nichts anderes vorschreibt, genügt also auch ein mündlicher Strafantrag oder der nur nach mündlicher Instruktion vom Anwalt gestellte Antrag.</w:t>
      </w:r>
    </w:p>
    <w:p>
      <w:r>
        <w:rPr>
          <w:b/>
        </w:rPr>
        <w:t>E. 2</w:t>
      </w:r>
    </w:p>
    <w:p>
      <w:r>
        <w:t>Die Vorinstanz erklärt, es sei zwar richtig; dass § 60 StPO -AG die Einreichung einer schriftlichen Vollmacht oder eine Erklärung des Vollmachtgebers zu Gerichtsprotokoll für die Vertretung im Privatstrafverfahren verlange. Fehle eine solche Vollmacht, so sei sie innert angesetzter Frist nachzubringen, ansonsten auf die Klage nicht eingetreten werde. Die Beschwerde kritisiert diese Auslegung. Werde die Vollmacht nicht innert der Antragsfrist (also nicht nur innert der vom Richter angesetzten Frist) eingereicht, so fehle ein gültiger Strafantrag. Damit kritisiert die Beschwerdeführerin die Auslegung kantonalen Prozessrechts. An sich könnte dieses so ausgestaltet werden, wie es von der Beschwerdeführerin postuliert wird (z.B.: "In Ehrverletzungssachen hat der Kläger den Strafantrag innert der Frist von Art. 29 StGB entweder selbst bei der zuständigen Behörde zu stellen oder durch einen schriftlich bevollmächtigten Vertreter stellen zu lassen"). Ebenso gut ist das Gegenteil möglich, nämlich der grundsätzliche Verzicht auf schriftliche Vollmacht für einen patentierten Anwalt. Die Aargauer Lösung gemäss angefochtenem Urteil liegt auf einer mittleren Linie. Das Bundesrecht schweigt dazu und überlässt die Regelung den Kantonen. Verletzungen kantonalen Prozessrechts können mit Nichtigkeitsbeschwerde nicht gerügt werden (Art. 269 Abs. 1, 273 Abs. 1 lit. b BStP). Die Behauptung in der Beschwerde, die Vorinstanz habe (zugleich) Bundesrecht verletzt, ist unzutreffend. BGE 106 IV 244 S. 246 Freilich konnte die Beschwerdeführerin irregeführt werden durch die deutsche (und italienische) Übersetzung der Regeste von BGE 103 IV 71 , wo steht, die Vollmacht (bzw. die Genehmigung) müsse vor Ablauf der Frist des Art. 29 StGB "beigebracht" statt "erteilt" werden ("fornita" statt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